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34E9C" w14:textId="77777777" w:rsidR="0099498A" w:rsidRPr="00A4388C" w:rsidRDefault="0099498A" w:rsidP="0099498A">
      <w:pPr>
        <w:autoSpaceDE w:val="0"/>
        <w:autoSpaceDN w:val="0"/>
        <w:adjustRightInd w:val="0"/>
        <w:spacing w:after="0" w:line="240" w:lineRule="auto"/>
        <w:jc w:val="center"/>
        <w:rPr>
          <w:rFonts w:ascii="Garamond" w:hAnsi="Garamond" w:cs="Garamond,Bold"/>
          <w:b/>
          <w:bCs/>
        </w:rPr>
      </w:pPr>
      <w:r w:rsidRPr="00A4388C">
        <w:rPr>
          <w:rFonts w:ascii="Garamond" w:hAnsi="Garamond" w:cs="Garamond,Bold"/>
          <w:b/>
          <w:bCs/>
        </w:rPr>
        <w:t xml:space="preserve">AVISO </w:t>
      </w:r>
      <w:r w:rsidR="009A0742" w:rsidRPr="00A4388C">
        <w:rPr>
          <w:rFonts w:ascii="Garamond" w:hAnsi="Garamond" w:cs="Garamond,Bold"/>
          <w:b/>
          <w:bCs/>
        </w:rPr>
        <w:t xml:space="preserve">DE </w:t>
      </w:r>
      <w:r w:rsidR="009A0742" w:rsidRPr="00A4388C">
        <w:rPr>
          <w:rFonts w:ascii="Garamond" w:hAnsi="Garamond" w:cs="Garamond,Bold"/>
          <w:b/>
          <w:bCs/>
          <w:u w:val="single"/>
        </w:rPr>
        <w:t>NO</w:t>
      </w:r>
      <w:r w:rsidR="009A0742" w:rsidRPr="00A4388C">
        <w:rPr>
          <w:rFonts w:ascii="Garamond" w:hAnsi="Garamond" w:cs="Garamond,Bold"/>
          <w:b/>
          <w:bCs/>
        </w:rPr>
        <w:t xml:space="preserve"> </w:t>
      </w:r>
      <w:r w:rsidRPr="00A4388C">
        <w:rPr>
          <w:rFonts w:ascii="Garamond" w:hAnsi="Garamond" w:cs="Garamond,Bold"/>
          <w:b/>
          <w:bCs/>
        </w:rPr>
        <w:t>LIMITACIÓN A MIPYME MÍNIMA CUANTÍA</w:t>
      </w:r>
    </w:p>
    <w:p w14:paraId="143B74CA" w14:textId="50715172" w:rsidR="0099498A" w:rsidRPr="00A4388C" w:rsidRDefault="0099498A" w:rsidP="0099498A">
      <w:pPr>
        <w:autoSpaceDE w:val="0"/>
        <w:autoSpaceDN w:val="0"/>
        <w:adjustRightInd w:val="0"/>
        <w:spacing w:after="0" w:line="240" w:lineRule="auto"/>
        <w:jc w:val="center"/>
        <w:rPr>
          <w:rFonts w:ascii="Garamond" w:hAnsi="Garamond" w:cs="Garamond,Bold"/>
          <w:b/>
          <w:bCs/>
        </w:rPr>
      </w:pPr>
      <w:r w:rsidRPr="00A4388C">
        <w:rPr>
          <w:rFonts w:ascii="Garamond" w:hAnsi="Garamond" w:cs="Garamond,Bold"/>
          <w:b/>
          <w:bCs/>
        </w:rPr>
        <w:t xml:space="preserve">INVITACIÓN PÚBLICA DEL PROCESO </w:t>
      </w:r>
      <w:r w:rsidR="00A4388C" w:rsidRPr="00A4388C">
        <w:rPr>
          <w:rFonts w:ascii="Garamond" w:hAnsi="Garamond" w:cs="Garamond,Bold"/>
          <w:b/>
          <w:bCs/>
        </w:rPr>
        <w:t>FDRS-MC-337-2026</w:t>
      </w:r>
    </w:p>
    <w:p w14:paraId="47FC331D" w14:textId="77777777" w:rsidR="00720C5E" w:rsidRPr="00A4388C" w:rsidRDefault="00720C5E" w:rsidP="0099498A">
      <w:pPr>
        <w:autoSpaceDE w:val="0"/>
        <w:autoSpaceDN w:val="0"/>
        <w:adjustRightInd w:val="0"/>
        <w:spacing w:after="0" w:line="240" w:lineRule="auto"/>
        <w:jc w:val="center"/>
        <w:rPr>
          <w:rFonts w:ascii="Garamond" w:hAnsi="Garamond" w:cs="Garamond,Bold"/>
          <w:b/>
          <w:bCs/>
        </w:rPr>
      </w:pPr>
    </w:p>
    <w:p w14:paraId="3FEA7B23" w14:textId="718B4E77" w:rsidR="00B932BF" w:rsidRPr="00A4388C" w:rsidRDefault="001132D1" w:rsidP="00E91A8E">
      <w:pPr>
        <w:autoSpaceDE w:val="0"/>
        <w:autoSpaceDN w:val="0"/>
        <w:adjustRightInd w:val="0"/>
        <w:spacing w:after="0" w:line="240" w:lineRule="auto"/>
        <w:jc w:val="both"/>
        <w:rPr>
          <w:rFonts w:ascii="Garamond" w:hAnsi="Garamond"/>
        </w:rPr>
      </w:pPr>
      <w:r w:rsidRPr="00A4388C">
        <w:rPr>
          <w:rFonts w:ascii="Garamond" w:hAnsi="Garamond"/>
        </w:rPr>
        <w:t>El FONDO DE DESARROLLO RURAL DE SUMAPAZ conforme a lo establecido en el artículo 2.2.1.2.1.5.2. del Decreto 1082 de 2015</w:t>
      </w:r>
      <w:r w:rsidR="00B932BF" w:rsidRPr="00A4388C">
        <w:rPr>
          <w:rFonts w:ascii="Garamond" w:hAnsi="Garamond"/>
        </w:rPr>
        <w:t xml:space="preserve">, AVISA, </w:t>
      </w:r>
      <w:r w:rsidRPr="00A4388C">
        <w:rPr>
          <w:rFonts w:ascii="Garamond" w:hAnsi="Garamond"/>
        </w:rPr>
        <w:t xml:space="preserve">que el presente proceso </w:t>
      </w:r>
      <w:r w:rsidRPr="00A4388C">
        <w:rPr>
          <w:rFonts w:ascii="Garamond" w:hAnsi="Garamond"/>
          <w:b/>
        </w:rPr>
        <w:t>NO s</w:t>
      </w:r>
      <w:r w:rsidRPr="00A4388C">
        <w:rPr>
          <w:rFonts w:ascii="Garamond" w:hAnsi="Garamond"/>
        </w:rPr>
        <w:t xml:space="preserve">e limitará a </w:t>
      </w:r>
      <w:r w:rsidR="00B932BF" w:rsidRPr="00A4388C">
        <w:rPr>
          <w:rFonts w:ascii="Garamond" w:hAnsi="Garamond"/>
        </w:rPr>
        <w:t xml:space="preserve">la participación </w:t>
      </w:r>
      <w:r w:rsidR="00A4388C" w:rsidRPr="00A4388C">
        <w:rPr>
          <w:rFonts w:ascii="Garamond" w:hAnsi="Garamond"/>
        </w:rPr>
        <w:t>exclusiva</w:t>
      </w:r>
      <w:r w:rsidR="00B932BF" w:rsidRPr="00A4388C">
        <w:rPr>
          <w:rFonts w:ascii="Garamond" w:hAnsi="Garamond"/>
        </w:rPr>
        <w:t xml:space="preserve"> de </w:t>
      </w:r>
      <w:r w:rsidR="00A4388C" w:rsidRPr="00A4388C">
        <w:rPr>
          <w:rFonts w:ascii="Garamond" w:hAnsi="Garamond"/>
        </w:rPr>
        <w:t>MiPymes</w:t>
      </w:r>
      <w:r w:rsidRPr="00A4388C">
        <w:rPr>
          <w:rFonts w:ascii="Garamond" w:hAnsi="Garamond"/>
        </w:rPr>
        <w:t xml:space="preserve"> y NO se le aplicarán las limitaciones territoriales de </w:t>
      </w:r>
      <w:r w:rsidR="00A4388C" w:rsidRPr="00A4388C">
        <w:rPr>
          <w:rFonts w:ascii="Garamond" w:hAnsi="Garamond"/>
        </w:rPr>
        <w:t>MiPymes</w:t>
      </w:r>
      <w:r w:rsidRPr="00A4388C">
        <w:rPr>
          <w:rFonts w:ascii="Garamond" w:hAnsi="Garamond"/>
        </w:rPr>
        <w:t>, que trata el artículo 2.2.1.2.4.2.3 del Decreto 1082 de 2015</w:t>
      </w:r>
      <w:r w:rsidR="00F455E8" w:rsidRPr="00A4388C">
        <w:rPr>
          <w:rFonts w:ascii="Garamond" w:hAnsi="Garamond"/>
        </w:rPr>
        <w:t xml:space="preserve"> amparado en las siguientes consideraciones:</w:t>
      </w:r>
    </w:p>
    <w:p w14:paraId="2182B81F" w14:textId="77777777" w:rsidR="00B932BF" w:rsidRPr="00A4388C" w:rsidRDefault="00B932BF" w:rsidP="00E91A8E">
      <w:pPr>
        <w:autoSpaceDE w:val="0"/>
        <w:autoSpaceDN w:val="0"/>
        <w:adjustRightInd w:val="0"/>
        <w:spacing w:after="0" w:line="240" w:lineRule="auto"/>
        <w:jc w:val="both"/>
        <w:rPr>
          <w:rFonts w:ascii="Garamond" w:hAnsi="Garamond"/>
        </w:rPr>
      </w:pPr>
    </w:p>
    <w:p w14:paraId="43CFF3F0" w14:textId="35E5C11D" w:rsidR="00A4388C" w:rsidRPr="00A4388C" w:rsidRDefault="00A4388C" w:rsidP="00A4388C">
      <w:pPr>
        <w:tabs>
          <w:tab w:val="left" w:pos="567"/>
        </w:tabs>
        <w:ind w:right="51"/>
        <w:jc w:val="both"/>
        <w:rPr>
          <w:rFonts w:ascii="Garamond" w:hAnsi="Garamond" w:cs="Arial"/>
          <w:bCs/>
          <w:color w:val="000000"/>
        </w:rPr>
      </w:pPr>
      <w:r>
        <w:rPr>
          <w:rFonts w:ascii="Garamond" w:hAnsi="Garamond" w:cs="Arial"/>
          <w:bCs/>
          <w:color w:val="000000"/>
        </w:rPr>
        <w:t>E</w:t>
      </w:r>
      <w:r w:rsidRPr="00A4388C">
        <w:rPr>
          <w:rFonts w:ascii="Garamond" w:hAnsi="Garamond" w:cs="Arial"/>
          <w:bCs/>
          <w:color w:val="000000"/>
        </w:rPr>
        <w:t>l Decreto Nacional 957 del 05 de junio de 2019, emitido por el Ministerio de Comercio, Industria y Turismo, establece en el artículo 2.2.1.13.2.2 Rangos para la Definición del Tamaño Empresarial. Para efectos de la clasificación del tamaño empresarial se utilizarán, con base en el criterio previsto en el artículo anterior, los siguientes rangos para determinar el valor de los ingresos por actividades ordinarias anuales de acuerdo con el sector económico de que se trate:</w:t>
      </w:r>
    </w:p>
    <w:tbl>
      <w:tblPr>
        <w:tblW w:w="4799" w:type="pct"/>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634"/>
        <w:gridCol w:w="1764"/>
        <w:gridCol w:w="2409"/>
        <w:gridCol w:w="2755"/>
      </w:tblGrid>
      <w:tr w:rsidR="00A4388C" w:rsidRPr="00A4388C" w14:paraId="5C1182AC" w14:textId="77777777" w:rsidTr="00A4388C">
        <w:trPr>
          <w:trHeight w:val="177"/>
          <w:jc w:val="center"/>
        </w:trPr>
        <w:tc>
          <w:tcPr>
            <w:tcW w:w="954" w:type="pct"/>
            <w:hideMark/>
          </w:tcPr>
          <w:p w14:paraId="4E62605C" w14:textId="77777777" w:rsidR="00A4388C" w:rsidRPr="00A4388C" w:rsidRDefault="00A4388C" w:rsidP="006628BD">
            <w:pPr>
              <w:tabs>
                <w:tab w:val="left" w:pos="567"/>
              </w:tabs>
              <w:ind w:right="-136"/>
              <w:jc w:val="center"/>
              <w:rPr>
                <w:rFonts w:ascii="Garamond" w:eastAsia="Calibri" w:hAnsi="Garamond" w:cs="Arial"/>
                <w:b/>
                <w:bCs/>
                <w:color w:val="000000"/>
                <w:sz w:val="20"/>
                <w:szCs w:val="20"/>
              </w:rPr>
            </w:pPr>
            <w:r w:rsidRPr="00A4388C">
              <w:rPr>
                <w:rFonts w:ascii="Garamond" w:eastAsia="Calibri" w:hAnsi="Garamond" w:cs="Arial"/>
                <w:b/>
                <w:bCs/>
                <w:color w:val="000000"/>
                <w:sz w:val="20"/>
                <w:szCs w:val="20"/>
              </w:rPr>
              <w:t>SECTOR</w:t>
            </w:r>
          </w:p>
        </w:tc>
        <w:tc>
          <w:tcPr>
            <w:tcW w:w="1030" w:type="pct"/>
            <w:hideMark/>
          </w:tcPr>
          <w:p w14:paraId="2F177CE5" w14:textId="77777777" w:rsidR="00A4388C" w:rsidRPr="00A4388C" w:rsidRDefault="00A4388C" w:rsidP="006628BD">
            <w:pPr>
              <w:tabs>
                <w:tab w:val="left" w:pos="567"/>
              </w:tabs>
              <w:ind w:left="-39"/>
              <w:jc w:val="center"/>
              <w:rPr>
                <w:rFonts w:ascii="Garamond" w:eastAsia="Calibri" w:hAnsi="Garamond" w:cs="Arial"/>
                <w:b/>
                <w:bCs/>
                <w:color w:val="000000"/>
                <w:sz w:val="20"/>
                <w:szCs w:val="20"/>
              </w:rPr>
            </w:pPr>
            <w:r w:rsidRPr="00A4388C">
              <w:rPr>
                <w:rFonts w:ascii="Garamond" w:eastAsia="Calibri" w:hAnsi="Garamond" w:cs="Arial"/>
                <w:b/>
                <w:bCs/>
                <w:color w:val="000000"/>
                <w:sz w:val="20"/>
                <w:szCs w:val="20"/>
              </w:rPr>
              <w:t>MICRO</w:t>
            </w:r>
          </w:p>
        </w:tc>
        <w:tc>
          <w:tcPr>
            <w:tcW w:w="1407" w:type="pct"/>
            <w:hideMark/>
          </w:tcPr>
          <w:p w14:paraId="331F1E01" w14:textId="77777777" w:rsidR="00A4388C" w:rsidRPr="00A4388C" w:rsidRDefault="00A4388C" w:rsidP="006628BD">
            <w:pPr>
              <w:tabs>
                <w:tab w:val="left" w:pos="567"/>
              </w:tabs>
              <w:ind w:right="-22"/>
              <w:jc w:val="center"/>
              <w:rPr>
                <w:rFonts w:ascii="Garamond" w:eastAsia="Calibri" w:hAnsi="Garamond" w:cs="Arial"/>
                <w:b/>
                <w:bCs/>
                <w:color w:val="000000"/>
                <w:sz w:val="20"/>
                <w:szCs w:val="20"/>
              </w:rPr>
            </w:pPr>
            <w:r w:rsidRPr="00A4388C">
              <w:rPr>
                <w:rFonts w:ascii="Garamond" w:eastAsia="Calibri" w:hAnsi="Garamond" w:cs="Arial"/>
                <w:b/>
                <w:bCs/>
                <w:color w:val="000000"/>
                <w:sz w:val="20"/>
                <w:szCs w:val="20"/>
              </w:rPr>
              <w:t>PEQUEÑA</w:t>
            </w:r>
          </w:p>
        </w:tc>
        <w:tc>
          <w:tcPr>
            <w:tcW w:w="1609" w:type="pct"/>
            <w:hideMark/>
          </w:tcPr>
          <w:p w14:paraId="4BCEEAC6" w14:textId="77777777" w:rsidR="00A4388C" w:rsidRPr="00A4388C" w:rsidRDefault="00A4388C" w:rsidP="006628BD">
            <w:pPr>
              <w:tabs>
                <w:tab w:val="left" w:pos="567"/>
                <w:tab w:val="left" w:pos="1936"/>
              </w:tabs>
              <w:jc w:val="center"/>
              <w:rPr>
                <w:rFonts w:ascii="Garamond" w:eastAsia="Calibri" w:hAnsi="Garamond" w:cs="Arial"/>
                <w:b/>
                <w:bCs/>
                <w:color w:val="000000"/>
                <w:sz w:val="20"/>
                <w:szCs w:val="20"/>
              </w:rPr>
            </w:pPr>
            <w:r w:rsidRPr="00A4388C">
              <w:rPr>
                <w:rFonts w:ascii="Garamond" w:eastAsia="Calibri" w:hAnsi="Garamond" w:cs="Arial"/>
                <w:b/>
                <w:bCs/>
                <w:color w:val="000000"/>
                <w:sz w:val="20"/>
                <w:szCs w:val="20"/>
              </w:rPr>
              <w:t>MEDIANA</w:t>
            </w:r>
          </w:p>
        </w:tc>
      </w:tr>
      <w:tr w:rsidR="00A4388C" w:rsidRPr="00A4388C" w14:paraId="0B078CC0" w14:textId="77777777" w:rsidTr="00A4388C">
        <w:trPr>
          <w:trHeight w:val="486"/>
          <w:jc w:val="center"/>
        </w:trPr>
        <w:tc>
          <w:tcPr>
            <w:tcW w:w="954" w:type="pct"/>
            <w:shd w:val="clear" w:color="auto" w:fill="F2F2F2"/>
            <w:hideMark/>
          </w:tcPr>
          <w:p w14:paraId="26CEEB09" w14:textId="77777777" w:rsidR="00A4388C" w:rsidRPr="00A4388C" w:rsidRDefault="00A4388C" w:rsidP="006628BD">
            <w:pPr>
              <w:tabs>
                <w:tab w:val="left" w:pos="22"/>
              </w:tabs>
              <w:ind w:right="-136"/>
              <w:rPr>
                <w:rFonts w:ascii="Garamond" w:eastAsia="Calibri" w:hAnsi="Garamond" w:cs="Arial"/>
                <w:b/>
                <w:bCs/>
                <w:color w:val="000000"/>
                <w:sz w:val="20"/>
                <w:szCs w:val="20"/>
              </w:rPr>
            </w:pPr>
            <w:r w:rsidRPr="00A4388C">
              <w:rPr>
                <w:rFonts w:ascii="Garamond" w:eastAsia="Calibri" w:hAnsi="Garamond" w:cs="Arial"/>
                <w:b/>
                <w:bCs/>
                <w:color w:val="000000"/>
                <w:sz w:val="20"/>
                <w:szCs w:val="20"/>
              </w:rPr>
              <w:t>Manufacturero</w:t>
            </w:r>
          </w:p>
        </w:tc>
        <w:tc>
          <w:tcPr>
            <w:tcW w:w="1030" w:type="pct"/>
            <w:shd w:val="clear" w:color="auto" w:fill="F2F2F2"/>
            <w:hideMark/>
          </w:tcPr>
          <w:p w14:paraId="6B1B76FB" w14:textId="77777777" w:rsidR="00A4388C" w:rsidRPr="00A4388C" w:rsidRDefault="00A4388C" w:rsidP="006628BD">
            <w:pPr>
              <w:tabs>
                <w:tab w:val="left" w:pos="567"/>
              </w:tabs>
              <w:ind w:left="-81" w:right="-63"/>
              <w:jc w:val="both"/>
              <w:rPr>
                <w:rFonts w:ascii="Garamond" w:eastAsia="Calibri" w:hAnsi="Garamond" w:cs="Arial"/>
                <w:bCs/>
                <w:color w:val="000000"/>
                <w:sz w:val="20"/>
                <w:szCs w:val="20"/>
                <w:lang w:val="pt-PT"/>
              </w:rPr>
            </w:pPr>
            <w:r w:rsidRPr="00A4388C">
              <w:rPr>
                <w:rFonts w:ascii="Garamond" w:eastAsia="Calibri" w:hAnsi="Garamond" w:cs="Arial"/>
                <w:bCs/>
                <w:color w:val="000000"/>
                <w:sz w:val="20"/>
                <w:szCs w:val="20"/>
                <w:lang w:val="pt-PT"/>
              </w:rPr>
              <w:t>Inferior o igual a 23.563 UVT.</w:t>
            </w:r>
          </w:p>
        </w:tc>
        <w:tc>
          <w:tcPr>
            <w:tcW w:w="1407" w:type="pct"/>
            <w:shd w:val="clear" w:color="auto" w:fill="F2F2F2"/>
            <w:hideMark/>
          </w:tcPr>
          <w:p w14:paraId="17B07CAA" w14:textId="77777777" w:rsidR="00A4388C" w:rsidRPr="00A4388C" w:rsidRDefault="00A4388C" w:rsidP="006628BD">
            <w:pPr>
              <w:tabs>
                <w:tab w:val="left" w:pos="567"/>
              </w:tabs>
              <w:jc w:val="both"/>
              <w:rPr>
                <w:rFonts w:ascii="Garamond" w:eastAsia="Calibri" w:hAnsi="Garamond" w:cs="Arial"/>
                <w:bCs/>
                <w:color w:val="000000"/>
                <w:sz w:val="20"/>
                <w:szCs w:val="20"/>
                <w:lang w:val="pt-PT"/>
              </w:rPr>
            </w:pPr>
            <w:r w:rsidRPr="00A4388C">
              <w:rPr>
                <w:rFonts w:ascii="Garamond" w:eastAsia="Calibri" w:hAnsi="Garamond" w:cs="Arial"/>
                <w:bCs/>
                <w:color w:val="000000"/>
                <w:sz w:val="20"/>
                <w:szCs w:val="20"/>
                <w:lang w:val="pt-PT"/>
              </w:rPr>
              <w:t>Superior a 23.563 UVT e inferior o igual a 204.995 UVT.</w:t>
            </w:r>
          </w:p>
        </w:tc>
        <w:tc>
          <w:tcPr>
            <w:tcW w:w="1609" w:type="pct"/>
            <w:shd w:val="clear" w:color="auto" w:fill="F2F2F2"/>
            <w:hideMark/>
          </w:tcPr>
          <w:p w14:paraId="68AB3470" w14:textId="77777777" w:rsidR="00A4388C" w:rsidRPr="00A4388C" w:rsidRDefault="00A4388C" w:rsidP="006628BD">
            <w:pPr>
              <w:tabs>
                <w:tab w:val="left" w:pos="567"/>
                <w:tab w:val="left" w:pos="1936"/>
              </w:tabs>
              <w:jc w:val="both"/>
              <w:rPr>
                <w:rFonts w:ascii="Garamond" w:eastAsia="Calibri" w:hAnsi="Garamond" w:cs="Arial"/>
                <w:bCs/>
                <w:color w:val="000000"/>
                <w:sz w:val="20"/>
                <w:szCs w:val="20"/>
                <w:lang w:val="pt-PT"/>
              </w:rPr>
            </w:pPr>
            <w:r w:rsidRPr="00A4388C">
              <w:rPr>
                <w:rFonts w:ascii="Garamond" w:eastAsia="Calibri" w:hAnsi="Garamond" w:cs="Arial"/>
                <w:bCs/>
                <w:color w:val="000000"/>
                <w:sz w:val="20"/>
                <w:szCs w:val="20"/>
                <w:lang w:val="pt-PT"/>
              </w:rPr>
              <w:t>Superior a 204.995 UVT e inferior o igual a 1’736.565 UVT.</w:t>
            </w:r>
          </w:p>
        </w:tc>
      </w:tr>
      <w:tr w:rsidR="00A4388C" w:rsidRPr="00A4388C" w14:paraId="4A085538" w14:textId="77777777" w:rsidTr="00A4388C">
        <w:trPr>
          <w:trHeight w:val="657"/>
          <w:jc w:val="center"/>
        </w:trPr>
        <w:tc>
          <w:tcPr>
            <w:tcW w:w="954" w:type="pct"/>
            <w:hideMark/>
          </w:tcPr>
          <w:p w14:paraId="3BAF4FFB" w14:textId="77777777" w:rsidR="00A4388C" w:rsidRPr="00A4388C" w:rsidRDefault="00A4388C" w:rsidP="006628BD">
            <w:pPr>
              <w:tabs>
                <w:tab w:val="left" w:pos="22"/>
              </w:tabs>
              <w:ind w:right="-136"/>
              <w:rPr>
                <w:rFonts w:ascii="Garamond" w:eastAsia="Calibri" w:hAnsi="Garamond" w:cs="Arial"/>
                <w:b/>
                <w:bCs/>
                <w:color w:val="000000"/>
                <w:sz w:val="20"/>
                <w:szCs w:val="20"/>
              </w:rPr>
            </w:pPr>
            <w:r w:rsidRPr="00A4388C">
              <w:rPr>
                <w:rFonts w:ascii="Garamond" w:eastAsia="Calibri" w:hAnsi="Garamond" w:cs="Arial"/>
                <w:b/>
                <w:bCs/>
                <w:color w:val="000000"/>
                <w:sz w:val="20"/>
                <w:szCs w:val="20"/>
              </w:rPr>
              <w:t>Servicios</w:t>
            </w:r>
          </w:p>
        </w:tc>
        <w:tc>
          <w:tcPr>
            <w:tcW w:w="1030" w:type="pct"/>
            <w:hideMark/>
          </w:tcPr>
          <w:p w14:paraId="4F9C2CCB" w14:textId="77777777" w:rsidR="00A4388C" w:rsidRPr="00A4388C" w:rsidRDefault="00A4388C" w:rsidP="006628BD">
            <w:pPr>
              <w:tabs>
                <w:tab w:val="left" w:pos="567"/>
              </w:tabs>
              <w:ind w:left="-81" w:right="-63"/>
              <w:jc w:val="both"/>
              <w:rPr>
                <w:rFonts w:ascii="Garamond" w:eastAsia="Calibri" w:hAnsi="Garamond" w:cs="Arial"/>
                <w:bCs/>
                <w:color w:val="000000"/>
                <w:sz w:val="20"/>
                <w:szCs w:val="20"/>
                <w:lang w:val="pt-PT"/>
              </w:rPr>
            </w:pPr>
            <w:r w:rsidRPr="00A4388C">
              <w:rPr>
                <w:rFonts w:ascii="Garamond" w:eastAsia="Calibri" w:hAnsi="Garamond" w:cs="Arial"/>
                <w:bCs/>
                <w:color w:val="000000"/>
                <w:sz w:val="20"/>
                <w:szCs w:val="20"/>
                <w:lang w:val="pt-PT"/>
              </w:rPr>
              <w:t>Inferior o igual a 32.988 UVT.</w:t>
            </w:r>
          </w:p>
        </w:tc>
        <w:tc>
          <w:tcPr>
            <w:tcW w:w="1407" w:type="pct"/>
            <w:hideMark/>
          </w:tcPr>
          <w:p w14:paraId="356F5511" w14:textId="77777777" w:rsidR="00A4388C" w:rsidRPr="00A4388C" w:rsidRDefault="00A4388C" w:rsidP="006628BD">
            <w:pPr>
              <w:tabs>
                <w:tab w:val="left" w:pos="567"/>
              </w:tabs>
              <w:ind w:left="-6"/>
              <w:jc w:val="both"/>
              <w:rPr>
                <w:rFonts w:ascii="Garamond" w:eastAsia="Calibri" w:hAnsi="Garamond" w:cs="Arial"/>
                <w:bCs/>
                <w:color w:val="000000"/>
                <w:sz w:val="20"/>
                <w:szCs w:val="20"/>
                <w:lang w:val="pt-PT"/>
              </w:rPr>
            </w:pPr>
            <w:r w:rsidRPr="00A4388C">
              <w:rPr>
                <w:rFonts w:ascii="Garamond" w:eastAsia="Calibri" w:hAnsi="Garamond" w:cs="Arial"/>
                <w:bCs/>
                <w:color w:val="000000"/>
                <w:sz w:val="20"/>
                <w:szCs w:val="20"/>
                <w:lang w:val="pt-PT"/>
              </w:rPr>
              <w:t>Superior a 32.988 UVT e inferior o igual a 131.951 UVT.</w:t>
            </w:r>
          </w:p>
        </w:tc>
        <w:tc>
          <w:tcPr>
            <w:tcW w:w="1609" w:type="pct"/>
            <w:hideMark/>
          </w:tcPr>
          <w:p w14:paraId="0B1F478B" w14:textId="77777777" w:rsidR="00A4388C" w:rsidRPr="00A4388C" w:rsidRDefault="00A4388C" w:rsidP="006628BD">
            <w:pPr>
              <w:tabs>
                <w:tab w:val="left" w:pos="567"/>
                <w:tab w:val="left" w:pos="1936"/>
              </w:tabs>
              <w:jc w:val="both"/>
              <w:rPr>
                <w:rFonts w:ascii="Garamond" w:eastAsia="Calibri" w:hAnsi="Garamond" w:cs="Arial"/>
                <w:bCs/>
                <w:color w:val="000000"/>
                <w:sz w:val="20"/>
                <w:szCs w:val="20"/>
                <w:lang w:val="pt-PT"/>
              </w:rPr>
            </w:pPr>
            <w:r w:rsidRPr="00A4388C">
              <w:rPr>
                <w:rFonts w:ascii="Garamond" w:eastAsia="Calibri" w:hAnsi="Garamond" w:cs="Arial"/>
                <w:bCs/>
                <w:color w:val="000000"/>
                <w:sz w:val="20"/>
                <w:szCs w:val="20"/>
                <w:lang w:val="pt-PT"/>
              </w:rPr>
              <w:t>Superior a 131.951 UVT e inferior o igual a 483.034 UVT.</w:t>
            </w:r>
          </w:p>
        </w:tc>
      </w:tr>
      <w:tr w:rsidR="00A4388C" w:rsidRPr="00A4388C" w14:paraId="1E3978B8" w14:textId="77777777" w:rsidTr="00A4388C">
        <w:trPr>
          <w:trHeight w:val="400"/>
          <w:jc w:val="center"/>
        </w:trPr>
        <w:tc>
          <w:tcPr>
            <w:tcW w:w="954" w:type="pct"/>
            <w:shd w:val="clear" w:color="auto" w:fill="F2F2F2"/>
            <w:hideMark/>
          </w:tcPr>
          <w:p w14:paraId="3CBA2840" w14:textId="77777777" w:rsidR="00A4388C" w:rsidRPr="00A4388C" w:rsidRDefault="00A4388C" w:rsidP="006628BD">
            <w:pPr>
              <w:tabs>
                <w:tab w:val="left" w:pos="22"/>
              </w:tabs>
              <w:ind w:right="-136"/>
              <w:rPr>
                <w:rFonts w:ascii="Garamond" w:eastAsia="Calibri" w:hAnsi="Garamond" w:cs="Arial"/>
                <w:b/>
                <w:bCs/>
                <w:color w:val="000000"/>
                <w:sz w:val="20"/>
                <w:szCs w:val="20"/>
              </w:rPr>
            </w:pPr>
            <w:r w:rsidRPr="00A4388C">
              <w:rPr>
                <w:rFonts w:ascii="Garamond" w:eastAsia="Calibri" w:hAnsi="Garamond" w:cs="Arial"/>
                <w:b/>
                <w:bCs/>
                <w:color w:val="000000"/>
                <w:sz w:val="20"/>
                <w:szCs w:val="20"/>
              </w:rPr>
              <w:t>Comercio</w:t>
            </w:r>
          </w:p>
        </w:tc>
        <w:tc>
          <w:tcPr>
            <w:tcW w:w="1030" w:type="pct"/>
            <w:shd w:val="clear" w:color="auto" w:fill="F2F2F2"/>
            <w:hideMark/>
          </w:tcPr>
          <w:p w14:paraId="4CA6F019" w14:textId="77777777" w:rsidR="00A4388C" w:rsidRPr="00A4388C" w:rsidRDefault="00A4388C" w:rsidP="006628BD">
            <w:pPr>
              <w:tabs>
                <w:tab w:val="left" w:pos="567"/>
              </w:tabs>
              <w:ind w:left="-81" w:right="-63"/>
              <w:jc w:val="both"/>
              <w:rPr>
                <w:rFonts w:ascii="Garamond" w:eastAsia="Calibri" w:hAnsi="Garamond" w:cs="Arial"/>
                <w:bCs/>
                <w:color w:val="000000"/>
                <w:sz w:val="20"/>
                <w:szCs w:val="20"/>
                <w:lang w:val="pt-PT"/>
              </w:rPr>
            </w:pPr>
            <w:r w:rsidRPr="00A4388C">
              <w:rPr>
                <w:rFonts w:ascii="Garamond" w:eastAsia="Calibri" w:hAnsi="Garamond" w:cs="Arial"/>
                <w:bCs/>
                <w:color w:val="000000"/>
                <w:sz w:val="20"/>
                <w:szCs w:val="20"/>
                <w:lang w:val="pt-PT"/>
              </w:rPr>
              <w:t>Inferior o igual a 44.769 UVT.</w:t>
            </w:r>
          </w:p>
        </w:tc>
        <w:tc>
          <w:tcPr>
            <w:tcW w:w="1407" w:type="pct"/>
            <w:shd w:val="clear" w:color="auto" w:fill="F2F2F2"/>
            <w:hideMark/>
          </w:tcPr>
          <w:p w14:paraId="3B55C88C" w14:textId="77777777" w:rsidR="00A4388C" w:rsidRPr="00A4388C" w:rsidRDefault="00A4388C" w:rsidP="006628BD">
            <w:pPr>
              <w:tabs>
                <w:tab w:val="left" w:pos="567"/>
              </w:tabs>
              <w:ind w:left="-6"/>
              <w:jc w:val="both"/>
              <w:rPr>
                <w:rFonts w:ascii="Garamond" w:eastAsia="Calibri" w:hAnsi="Garamond" w:cs="Arial"/>
                <w:bCs/>
                <w:color w:val="000000"/>
                <w:sz w:val="20"/>
                <w:szCs w:val="20"/>
                <w:lang w:val="pt-PT"/>
              </w:rPr>
            </w:pPr>
            <w:r w:rsidRPr="00A4388C">
              <w:rPr>
                <w:rFonts w:ascii="Garamond" w:eastAsia="Calibri" w:hAnsi="Garamond" w:cs="Arial"/>
                <w:bCs/>
                <w:color w:val="000000"/>
                <w:sz w:val="20"/>
                <w:szCs w:val="20"/>
                <w:lang w:val="pt-PT"/>
              </w:rPr>
              <w:t>Superior a 44.769 e inferior o igual a 431.196 UVT.</w:t>
            </w:r>
          </w:p>
        </w:tc>
        <w:tc>
          <w:tcPr>
            <w:tcW w:w="1609" w:type="pct"/>
            <w:shd w:val="clear" w:color="auto" w:fill="F2F2F2"/>
            <w:hideMark/>
          </w:tcPr>
          <w:p w14:paraId="64FB780D" w14:textId="77777777" w:rsidR="00A4388C" w:rsidRPr="00A4388C" w:rsidRDefault="00A4388C" w:rsidP="006628BD">
            <w:pPr>
              <w:tabs>
                <w:tab w:val="left" w:pos="567"/>
                <w:tab w:val="left" w:pos="1936"/>
              </w:tabs>
              <w:jc w:val="both"/>
              <w:rPr>
                <w:rFonts w:ascii="Garamond" w:eastAsia="Calibri" w:hAnsi="Garamond" w:cs="Arial"/>
                <w:bCs/>
                <w:color w:val="000000"/>
                <w:sz w:val="20"/>
                <w:szCs w:val="20"/>
                <w:lang w:val="pt-PT"/>
              </w:rPr>
            </w:pPr>
            <w:r w:rsidRPr="00A4388C">
              <w:rPr>
                <w:rFonts w:ascii="Garamond" w:eastAsia="Calibri" w:hAnsi="Garamond" w:cs="Arial"/>
                <w:bCs/>
                <w:color w:val="000000"/>
                <w:sz w:val="20"/>
                <w:szCs w:val="20"/>
                <w:lang w:val="pt-PT"/>
              </w:rPr>
              <w:t>Superior a 431.196 UVT e inferior o igual a 2’160.692 UVT.</w:t>
            </w:r>
          </w:p>
        </w:tc>
      </w:tr>
    </w:tbl>
    <w:p w14:paraId="1DD8F733" w14:textId="77777777" w:rsidR="00A4388C" w:rsidRPr="00A4388C" w:rsidRDefault="00A4388C" w:rsidP="00A4388C">
      <w:pPr>
        <w:ind w:right="57"/>
        <w:jc w:val="center"/>
        <w:rPr>
          <w:rFonts w:ascii="Garamond" w:eastAsia="Batang" w:hAnsi="Garamond" w:cs="Arial"/>
          <w:bCs/>
          <w:i/>
          <w:iCs/>
          <w:color w:val="000000"/>
          <w:sz w:val="18"/>
          <w:szCs w:val="18"/>
        </w:rPr>
      </w:pPr>
      <w:r w:rsidRPr="00A4388C">
        <w:rPr>
          <w:rFonts w:ascii="Garamond" w:eastAsia="Batang" w:hAnsi="Garamond" w:cs="Arial"/>
          <w:bCs/>
          <w:i/>
          <w:iCs/>
          <w:color w:val="000000"/>
          <w:sz w:val="18"/>
          <w:szCs w:val="18"/>
        </w:rPr>
        <w:t>Fuente: Elaboración intermediario de seguros de la entidad JARGU S.A. CORREDORES DE SEGUROS</w:t>
      </w:r>
    </w:p>
    <w:p w14:paraId="5DBCF8F5" w14:textId="77777777" w:rsidR="00A4388C" w:rsidRPr="00A4388C" w:rsidRDefault="00A4388C" w:rsidP="00A4388C">
      <w:pPr>
        <w:tabs>
          <w:tab w:val="left" w:pos="567"/>
        </w:tabs>
        <w:ind w:right="191"/>
        <w:jc w:val="both"/>
        <w:rPr>
          <w:rFonts w:ascii="Garamond" w:hAnsi="Garamond" w:cs="Arial"/>
          <w:bCs/>
          <w:color w:val="000000"/>
        </w:rPr>
      </w:pPr>
      <w:bookmarkStart w:id="0" w:name="_Hlk219380448"/>
      <w:r w:rsidRPr="00A4388C">
        <w:rPr>
          <w:rFonts w:ascii="Garamond" w:hAnsi="Garamond" w:cs="Arial"/>
          <w:bCs/>
          <w:color w:val="000000"/>
        </w:rPr>
        <w:t>Que según la Resolución 00238 del 15 de diciembre de 2025 de la Unidad Administrativa Especial Dirección de Impuestos y Aduanas Nacionales (DIAN), el UVT para el 2026 quedó en $52.374.</w:t>
      </w:r>
    </w:p>
    <w:bookmarkEnd w:id="0"/>
    <w:p w14:paraId="7BAC1C25" w14:textId="77777777" w:rsidR="00A4388C" w:rsidRPr="00A4388C" w:rsidRDefault="00A4388C" w:rsidP="00A4388C">
      <w:pPr>
        <w:tabs>
          <w:tab w:val="left" w:pos="567"/>
        </w:tabs>
        <w:ind w:right="51"/>
        <w:jc w:val="both"/>
        <w:rPr>
          <w:rFonts w:ascii="Garamond" w:hAnsi="Garamond" w:cs="Arial"/>
          <w:bCs/>
          <w:color w:val="000000"/>
        </w:rPr>
      </w:pPr>
      <w:r w:rsidRPr="00A4388C">
        <w:rPr>
          <w:rFonts w:ascii="Garamond" w:hAnsi="Garamond" w:cs="Arial"/>
          <w:bCs/>
          <w:color w:val="000000"/>
        </w:rPr>
        <w:t>También precisa que para efectos de convertir en valores absolutos las cifras y valores expresados en UVT aplicables a las disposiciones relativas a los impuestos y obligaciones administrados por la DIAN, debe multiplicarse el número de las UVT por su valor y el resultado se aproxima de acuerdo con el procedimiento de aproximaciones establecido en el inciso 6 del artículo 868 del Estatuto Tributario.</w:t>
      </w:r>
    </w:p>
    <w:p w14:paraId="422691AF" w14:textId="77777777" w:rsidR="00A4388C" w:rsidRPr="00A4388C" w:rsidRDefault="00A4388C" w:rsidP="00A4388C">
      <w:pPr>
        <w:tabs>
          <w:tab w:val="left" w:pos="567"/>
        </w:tabs>
        <w:ind w:right="51"/>
        <w:jc w:val="both"/>
        <w:rPr>
          <w:rFonts w:ascii="Garamond" w:hAnsi="Garamond" w:cs="Arial"/>
          <w:bCs/>
          <w:color w:val="000000"/>
        </w:rPr>
      </w:pPr>
      <w:r w:rsidRPr="00A4388C">
        <w:rPr>
          <w:rFonts w:ascii="Garamond" w:hAnsi="Garamond" w:cs="Arial"/>
          <w:bCs/>
          <w:color w:val="000000"/>
        </w:rPr>
        <w:t>De acuerdo con lo anterior, los rangos para determinar el valor de los ingresos por actividades ordinarias anuales de acuerdo con el sector económico de que se trate quedan de la siguiente manera:</w:t>
      </w:r>
    </w:p>
    <w:p w14:paraId="5CAFBA58" w14:textId="52E58379" w:rsidR="00A4388C" w:rsidRPr="00A4388C" w:rsidRDefault="00A4388C" w:rsidP="00A4388C">
      <w:pPr>
        <w:pStyle w:val="Standard"/>
        <w:jc w:val="center"/>
        <w:rPr>
          <w:rFonts w:ascii="Garamond" w:hAnsi="Garamond" w:cs="Arial"/>
          <w:sz w:val="22"/>
          <w:szCs w:val="22"/>
          <w:lang w:val="es-ES"/>
        </w:rPr>
      </w:pPr>
      <w:r w:rsidRPr="00A4388C">
        <w:rPr>
          <w:rFonts w:ascii="Garamond" w:hAnsi="Garamond" w:cs="Arial"/>
          <w:noProof/>
          <w:color w:val="000000"/>
          <w:sz w:val="22"/>
          <w:szCs w:val="22"/>
        </w:rPr>
        <w:drawing>
          <wp:inline distT="0" distB="0" distL="0" distR="0" wp14:anchorId="2AC43271" wp14:editId="41D99293">
            <wp:extent cx="4692926" cy="1321435"/>
            <wp:effectExtent l="38100" t="38100" r="31750" b="31115"/>
            <wp:docPr id="783023208"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8" descr="Tabla&#10;&#10;El contenido generado por IA puede ser incorrect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05268" cy="1324910"/>
                    </a:xfrm>
                    <a:prstGeom prst="rect">
                      <a:avLst/>
                    </a:prstGeom>
                    <a:noFill/>
                    <a:ln w="38100" cmpd="sng">
                      <a:solidFill>
                        <a:srgbClr val="000000"/>
                      </a:solidFill>
                      <a:miter lim="800000"/>
                      <a:headEnd/>
                      <a:tailEnd/>
                    </a:ln>
                    <a:effectLst/>
                  </pic:spPr>
                </pic:pic>
              </a:graphicData>
            </a:graphic>
          </wp:inline>
        </w:drawing>
      </w:r>
    </w:p>
    <w:p w14:paraId="5C8C9EA7" w14:textId="77777777" w:rsidR="00A4388C" w:rsidRPr="00A4388C" w:rsidRDefault="00A4388C" w:rsidP="00A4388C">
      <w:pPr>
        <w:tabs>
          <w:tab w:val="left" w:pos="567"/>
        </w:tabs>
        <w:ind w:right="616"/>
        <w:jc w:val="center"/>
        <w:rPr>
          <w:rFonts w:ascii="Garamond" w:hAnsi="Garamond" w:cs="Arial"/>
          <w:bCs/>
          <w:color w:val="000000"/>
          <w:sz w:val="18"/>
          <w:szCs w:val="18"/>
        </w:rPr>
      </w:pPr>
      <w:r w:rsidRPr="00A4388C">
        <w:rPr>
          <w:rFonts w:ascii="Garamond" w:hAnsi="Garamond" w:cs="Arial"/>
          <w:bCs/>
          <w:color w:val="000000"/>
        </w:rPr>
        <w:tab/>
      </w:r>
      <w:r w:rsidRPr="00A4388C">
        <w:rPr>
          <w:rFonts w:ascii="Garamond" w:hAnsi="Garamond" w:cs="Arial"/>
          <w:bCs/>
          <w:color w:val="000000"/>
          <w:sz w:val="18"/>
          <w:szCs w:val="18"/>
        </w:rPr>
        <w:t xml:space="preserve">Fuente: BANCOLDEX - </w:t>
      </w:r>
      <w:hyperlink r:id="rId7" w:history="1">
        <w:r w:rsidRPr="00A4388C">
          <w:rPr>
            <w:rStyle w:val="Hipervnculo"/>
            <w:rFonts w:ascii="Garamond" w:hAnsi="Garamond" w:cs="Arial"/>
            <w:bCs/>
            <w:color w:val="000000"/>
            <w:sz w:val="18"/>
            <w:szCs w:val="18"/>
          </w:rPr>
          <w:t>https://www.bancoldex.com/es/sobre-bancoldex/quienes-somos/clasificacion-de-empresas-en-colombia</w:t>
        </w:r>
      </w:hyperlink>
    </w:p>
    <w:p w14:paraId="78276D3E" w14:textId="52D8F774" w:rsidR="00A4388C" w:rsidRPr="00A4388C" w:rsidRDefault="00A4388C" w:rsidP="00A4388C">
      <w:pPr>
        <w:contextualSpacing/>
        <w:jc w:val="both"/>
        <w:rPr>
          <w:rFonts w:ascii="Garamond" w:hAnsi="Garamond" w:cs="Arial"/>
          <w:bCs/>
          <w:color w:val="000000"/>
        </w:rPr>
      </w:pPr>
      <w:r w:rsidRPr="00A4388C">
        <w:rPr>
          <w:rFonts w:ascii="Garamond" w:hAnsi="Garamond" w:cs="Arial"/>
          <w:bCs/>
          <w:color w:val="000000"/>
        </w:rPr>
        <w:lastRenderedPageBreak/>
        <w:t>En virtud de lo anterior y con la finalidad de dejar constancia de la actividad financiera y patrimonial de las aseguradoras, de acuerdo con la Superintendencia Financiera de Colombia, con corte a enero de 2026 el patrimonio total de las aseguradoras está por encima de los $22.000.000.000 lo que corrobora su composición como gran empresa</w:t>
      </w:r>
    </w:p>
    <w:p w14:paraId="1B96E65A" w14:textId="77777777" w:rsidR="00A4388C" w:rsidRPr="00A4388C" w:rsidRDefault="00A4388C" w:rsidP="00A4388C">
      <w:pPr>
        <w:contextualSpacing/>
        <w:jc w:val="both"/>
        <w:rPr>
          <w:rFonts w:ascii="Garamond" w:hAnsi="Garamond" w:cs="Arial"/>
          <w:bCs/>
          <w:color w:val="000000"/>
        </w:rPr>
      </w:pPr>
    </w:p>
    <w:p w14:paraId="070FC3DF" w14:textId="77777777" w:rsidR="00A4388C" w:rsidRPr="00A4388C" w:rsidRDefault="00A4388C" w:rsidP="00A4388C">
      <w:pPr>
        <w:jc w:val="both"/>
        <w:rPr>
          <w:rFonts w:ascii="Garamond" w:eastAsia="Arial Narrow" w:hAnsi="Garamond" w:cs="Arial"/>
          <w:color w:val="000000"/>
        </w:rPr>
      </w:pPr>
      <w:r w:rsidRPr="00A4388C">
        <w:rPr>
          <w:rFonts w:ascii="Garamond" w:eastAsia="Arial Narrow" w:hAnsi="Garamond" w:cs="Arial"/>
          <w:color w:val="000000"/>
        </w:rPr>
        <w:t>Conforme al análisis realizado y en virtud de lo dispuesto en el artículo 5 del Decreto 1860 de 2021, que modifica el artículo 2.2.1.2.4.2.2 del Decreto 1082 de 2015, y aun cuando el presupuesto del presente proceso se encuentra dentro de los umbrales establecidos para procesos susceptibles de ser limitados a MiPymes, se concluye que para el presente proceso no resulta aplicable dicha limitación.</w:t>
      </w:r>
    </w:p>
    <w:p w14:paraId="7C52C91C" w14:textId="77777777" w:rsidR="00A4388C" w:rsidRPr="00A4388C" w:rsidRDefault="00A4388C" w:rsidP="00A4388C">
      <w:pPr>
        <w:jc w:val="both"/>
        <w:rPr>
          <w:rFonts w:ascii="Garamond" w:eastAsia="Arial Narrow" w:hAnsi="Garamond" w:cs="Arial"/>
          <w:color w:val="000000"/>
        </w:rPr>
      </w:pPr>
      <w:r w:rsidRPr="00A4388C">
        <w:rPr>
          <w:rFonts w:ascii="Garamond" w:eastAsia="Arial Narrow" w:hAnsi="Garamond" w:cs="Arial"/>
          <w:color w:val="000000"/>
        </w:rPr>
        <w:t>Lo anterior, teniendo en cuenta que del estudio del sector se evidencia que el cien por ciento (100%) de los posibles proveedores que participan en el mercado corresponden a grandes empresas, por lo cual no se cumple con el requisito de pluralidad de oferentes clasificados como micro, pequeñas o medianas empresas.</w:t>
      </w:r>
    </w:p>
    <w:p w14:paraId="2E80ED4B" w14:textId="77777777" w:rsidR="00A4388C" w:rsidRDefault="00A4388C" w:rsidP="00A4388C">
      <w:pPr>
        <w:pStyle w:val="Textoindependiente"/>
        <w:ind w:right="40"/>
        <w:jc w:val="both"/>
        <w:rPr>
          <w:rFonts w:ascii="Garamond" w:eastAsia="Arial Narrow" w:hAnsi="Garamond"/>
          <w:color w:val="000000"/>
          <w:sz w:val="22"/>
          <w:szCs w:val="22"/>
        </w:rPr>
      </w:pPr>
      <w:r w:rsidRPr="00A4388C">
        <w:rPr>
          <w:rFonts w:ascii="Garamond" w:eastAsia="Arial Narrow" w:hAnsi="Garamond"/>
          <w:color w:val="000000"/>
          <w:sz w:val="22"/>
          <w:szCs w:val="22"/>
        </w:rPr>
        <w:t xml:space="preserve">Adicionalmente, se tiene que los potenciales oferentes identificados superan los topes de clasificación establecidos en salarios mínimos mensuales legales vigentes (SMMLV) para ser considerados como MiPymes, conforme a los criterios definidos en la normativa aplicable, razón por la cual no es procedente limitar el presente proceso a este tipo de empresas. </w:t>
      </w:r>
    </w:p>
    <w:p w14:paraId="51E354DC" w14:textId="231C2AD8" w:rsidR="00A4388C" w:rsidRPr="00A4388C" w:rsidRDefault="00A4388C" w:rsidP="00A4388C">
      <w:pPr>
        <w:pStyle w:val="Textoindependiente"/>
        <w:ind w:right="40"/>
        <w:jc w:val="both"/>
        <w:rPr>
          <w:rFonts w:ascii="Garamond" w:eastAsia="Arial Narrow" w:hAnsi="Garamond"/>
          <w:color w:val="000000"/>
          <w:sz w:val="22"/>
          <w:szCs w:val="22"/>
        </w:rPr>
      </w:pPr>
      <w:r w:rsidRPr="005C5654">
        <w:rPr>
          <w:rFonts w:ascii="Garamond" w:hAnsi="Garamond"/>
          <w:sz w:val="22"/>
          <w:szCs w:val="22"/>
          <w:lang w:val="es-MX"/>
        </w:rPr>
        <w:t>Dada en Bogotá D.C., a los veintiocho (28) días del mes de abril de dos mil veintiséis (2026).</w:t>
      </w:r>
    </w:p>
    <w:p w14:paraId="64597105" w14:textId="77777777" w:rsidR="00E91A8E" w:rsidRPr="00A4388C" w:rsidRDefault="00E91A8E" w:rsidP="0099498A">
      <w:pPr>
        <w:autoSpaceDE w:val="0"/>
        <w:autoSpaceDN w:val="0"/>
        <w:adjustRightInd w:val="0"/>
        <w:spacing w:after="0" w:line="240" w:lineRule="auto"/>
        <w:rPr>
          <w:rFonts w:ascii="Garamond" w:hAnsi="Garamond" w:cs="Garamond"/>
          <w:lang w:val="es-MX"/>
        </w:rPr>
      </w:pPr>
    </w:p>
    <w:p w14:paraId="5651B078" w14:textId="77777777" w:rsidR="00E91A8E" w:rsidRPr="00A4388C" w:rsidRDefault="00E91A8E" w:rsidP="0099498A">
      <w:pPr>
        <w:autoSpaceDE w:val="0"/>
        <w:autoSpaceDN w:val="0"/>
        <w:adjustRightInd w:val="0"/>
        <w:spacing w:after="0" w:line="240" w:lineRule="auto"/>
        <w:rPr>
          <w:rFonts w:ascii="Garamond" w:hAnsi="Garamond" w:cs="Garamond"/>
        </w:rPr>
      </w:pPr>
    </w:p>
    <w:p w14:paraId="16EBDBC4" w14:textId="77777777" w:rsidR="004C66A9" w:rsidRPr="00A4388C" w:rsidRDefault="004C66A9" w:rsidP="0099498A">
      <w:pPr>
        <w:autoSpaceDE w:val="0"/>
        <w:autoSpaceDN w:val="0"/>
        <w:adjustRightInd w:val="0"/>
        <w:spacing w:after="0" w:line="240" w:lineRule="auto"/>
        <w:rPr>
          <w:rFonts w:ascii="Garamond" w:hAnsi="Garamond" w:cs="Garamond"/>
        </w:rPr>
      </w:pPr>
    </w:p>
    <w:p w14:paraId="715A9E74" w14:textId="77777777" w:rsidR="004C66A9" w:rsidRPr="00A4388C" w:rsidRDefault="004C66A9" w:rsidP="0099498A">
      <w:pPr>
        <w:autoSpaceDE w:val="0"/>
        <w:autoSpaceDN w:val="0"/>
        <w:adjustRightInd w:val="0"/>
        <w:spacing w:after="0" w:line="240" w:lineRule="auto"/>
        <w:rPr>
          <w:rFonts w:ascii="Garamond" w:hAnsi="Garamond" w:cs="Garamond"/>
        </w:rPr>
      </w:pPr>
    </w:p>
    <w:p w14:paraId="3C7DC772" w14:textId="77777777" w:rsidR="004C66A9" w:rsidRPr="00A4388C" w:rsidRDefault="008D2F0A" w:rsidP="004C66A9">
      <w:pPr>
        <w:autoSpaceDE w:val="0"/>
        <w:autoSpaceDN w:val="0"/>
        <w:adjustRightInd w:val="0"/>
        <w:spacing w:after="0" w:line="240" w:lineRule="auto"/>
        <w:jc w:val="center"/>
        <w:rPr>
          <w:rFonts w:ascii="Garamond" w:hAnsi="Garamond" w:cs="Garamond"/>
          <w:b/>
        </w:rPr>
      </w:pPr>
      <w:r w:rsidRPr="00A4388C">
        <w:rPr>
          <w:rFonts w:ascii="Garamond" w:hAnsi="Garamond" w:cs="Garamond"/>
          <w:b/>
        </w:rPr>
        <w:t>DIEGO RAMIRO GARCÍA BEJARANO</w:t>
      </w:r>
    </w:p>
    <w:p w14:paraId="40592B45" w14:textId="77777777" w:rsidR="004C66A9" w:rsidRPr="00A4388C" w:rsidRDefault="004C66A9" w:rsidP="004C66A9">
      <w:pPr>
        <w:autoSpaceDE w:val="0"/>
        <w:autoSpaceDN w:val="0"/>
        <w:adjustRightInd w:val="0"/>
        <w:spacing w:after="0" w:line="240" w:lineRule="auto"/>
        <w:jc w:val="center"/>
        <w:rPr>
          <w:rFonts w:ascii="Garamond" w:hAnsi="Garamond" w:cs="Garamond"/>
          <w:b/>
        </w:rPr>
      </w:pPr>
      <w:r w:rsidRPr="00A4388C">
        <w:rPr>
          <w:rFonts w:ascii="Garamond" w:hAnsi="Garamond" w:cs="Garamond"/>
          <w:b/>
        </w:rPr>
        <w:t>Alcalde Local de Sumapaz</w:t>
      </w:r>
    </w:p>
    <w:p w14:paraId="37DDBB27" w14:textId="77777777" w:rsidR="004C66A9" w:rsidRPr="00A4388C" w:rsidRDefault="004C66A9" w:rsidP="0099498A">
      <w:pPr>
        <w:autoSpaceDE w:val="0"/>
        <w:autoSpaceDN w:val="0"/>
        <w:adjustRightInd w:val="0"/>
        <w:spacing w:after="0" w:line="240" w:lineRule="auto"/>
        <w:rPr>
          <w:rFonts w:ascii="Garamond" w:hAnsi="Garamond" w:cs="Garamond"/>
        </w:rPr>
      </w:pPr>
    </w:p>
    <w:p w14:paraId="50618CC7" w14:textId="77777777" w:rsidR="004C66A9" w:rsidRPr="00A4388C" w:rsidRDefault="004C66A9" w:rsidP="0099498A">
      <w:pPr>
        <w:autoSpaceDE w:val="0"/>
        <w:autoSpaceDN w:val="0"/>
        <w:adjustRightInd w:val="0"/>
        <w:spacing w:after="0" w:line="240" w:lineRule="auto"/>
        <w:rPr>
          <w:rFonts w:ascii="Garamond" w:hAnsi="Garamond" w:cs="Garamond"/>
        </w:rPr>
      </w:pPr>
    </w:p>
    <w:p w14:paraId="0396BC6B" w14:textId="77777777" w:rsidR="00A4388C" w:rsidRPr="005C5654" w:rsidRDefault="00A4388C" w:rsidP="00A4388C">
      <w:pPr>
        <w:ind w:hanging="2"/>
        <w:jc w:val="both"/>
        <w:rPr>
          <w:rFonts w:ascii="Garamond" w:hAnsi="Garamond"/>
          <w:sz w:val="18"/>
          <w:szCs w:val="18"/>
        </w:rPr>
      </w:pPr>
      <w:r w:rsidRPr="005C5654">
        <w:rPr>
          <w:rFonts w:ascii="Garamond" w:hAnsi="Garamond"/>
          <w:sz w:val="18"/>
          <w:szCs w:val="18"/>
        </w:rPr>
        <w:t>Proyectó: Zayra Daniela Casas Lozano - Abogada de Apoyo Contratación FDRS</w:t>
      </w:r>
      <w:r>
        <w:rPr>
          <w:rFonts w:ascii="Garamond" w:hAnsi="Garamond"/>
          <w:noProof/>
          <w:sz w:val="18"/>
          <w:szCs w:val="18"/>
        </w:rPr>
        <w:drawing>
          <wp:inline distT="0" distB="0" distL="0" distR="0" wp14:anchorId="241AB637" wp14:editId="2FCD1C45">
            <wp:extent cx="667133" cy="138430"/>
            <wp:effectExtent l="0" t="0" r="0" b="0"/>
            <wp:docPr id="113900565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005656" name="Imagen 1139005656"/>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0202" cy="151517"/>
                    </a:xfrm>
                    <a:prstGeom prst="rect">
                      <a:avLst/>
                    </a:prstGeom>
                  </pic:spPr>
                </pic:pic>
              </a:graphicData>
            </a:graphic>
          </wp:inline>
        </w:drawing>
      </w:r>
    </w:p>
    <w:p w14:paraId="48C6F637" w14:textId="77777777" w:rsidR="00A4388C" w:rsidRPr="005C5654" w:rsidRDefault="00A4388C" w:rsidP="00A4388C">
      <w:pPr>
        <w:pStyle w:val="Standard"/>
        <w:tabs>
          <w:tab w:val="left" w:pos="3913"/>
        </w:tabs>
        <w:rPr>
          <w:rFonts w:ascii="Garamond" w:hAnsi="Garamond"/>
          <w:sz w:val="18"/>
          <w:szCs w:val="18"/>
        </w:rPr>
      </w:pPr>
      <w:r w:rsidRPr="005C5654">
        <w:rPr>
          <w:rFonts w:ascii="Garamond" w:hAnsi="Garamond"/>
          <w:sz w:val="18"/>
          <w:szCs w:val="18"/>
        </w:rPr>
        <w:t xml:space="preserve">              Miryan Cristina Parra Duque - Abogada de Apoyo Contratación FDRS</w:t>
      </w:r>
    </w:p>
    <w:p w14:paraId="13E06F4E" w14:textId="77777777" w:rsidR="00A4388C" w:rsidRPr="005C5654" w:rsidRDefault="00A4388C" w:rsidP="00A4388C">
      <w:pPr>
        <w:jc w:val="both"/>
        <w:rPr>
          <w:rFonts w:ascii="Garamond" w:hAnsi="Garamond"/>
          <w:i/>
        </w:rPr>
      </w:pPr>
    </w:p>
    <w:p w14:paraId="6294C2F7" w14:textId="78CDA097" w:rsidR="00566FBA" w:rsidRPr="00A4388C" w:rsidRDefault="00566FBA" w:rsidP="00A4388C">
      <w:pPr>
        <w:autoSpaceDE w:val="0"/>
        <w:autoSpaceDN w:val="0"/>
        <w:adjustRightInd w:val="0"/>
        <w:spacing w:after="0" w:line="240" w:lineRule="auto"/>
        <w:rPr>
          <w:rFonts w:ascii="Garamond" w:hAnsi="Garamond"/>
          <w:i/>
        </w:rPr>
      </w:pPr>
    </w:p>
    <w:sectPr w:rsidR="00566FBA" w:rsidRPr="00A4388C" w:rsidSect="009A0742">
      <w:headerReference w:type="default" r:id="rId9"/>
      <w:footerReference w:type="default" r:id="rId10"/>
      <w:pgSz w:w="12240" w:h="15840"/>
      <w:pgMar w:top="1417" w:right="160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72241" w14:textId="77777777" w:rsidR="006965D0" w:rsidRDefault="006965D0" w:rsidP="00C97446">
      <w:pPr>
        <w:spacing w:after="0" w:line="240" w:lineRule="auto"/>
      </w:pPr>
      <w:r>
        <w:separator/>
      </w:r>
    </w:p>
  </w:endnote>
  <w:endnote w:type="continuationSeparator" w:id="0">
    <w:p w14:paraId="6FF987AE" w14:textId="77777777" w:rsidR="006965D0" w:rsidRDefault="006965D0" w:rsidP="00C97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Garamond,Bold">
    <w:altName w:val="Garamon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A29A5" w14:textId="77777777" w:rsidR="00C97446" w:rsidRPr="00990908" w:rsidRDefault="00C97446" w:rsidP="00A4554E">
    <w:pPr>
      <w:spacing w:after="0" w:line="240" w:lineRule="auto"/>
      <w:ind w:left="323"/>
      <w:jc w:val="center"/>
      <w:rPr>
        <w:rFonts w:ascii="Garamond" w:hAnsi="Garamond" w:cs="Arial"/>
        <w:sz w:val="16"/>
        <w:szCs w:val="16"/>
        <w:lang w:val="es-MX"/>
      </w:rPr>
    </w:pPr>
    <w:r w:rsidRPr="00990908">
      <w:rPr>
        <w:rFonts w:ascii="Garamond" w:hAnsi="Garamond" w:cs="Arial"/>
        <w:sz w:val="16"/>
        <w:szCs w:val="16"/>
        <w:lang w:val="es-MX"/>
      </w:rPr>
      <w:t>Edificio Liévano</w:t>
    </w:r>
  </w:p>
  <w:p w14:paraId="18BC623B" w14:textId="77777777" w:rsidR="00C97446" w:rsidRPr="00990908" w:rsidRDefault="00C97446" w:rsidP="00A4554E">
    <w:pPr>
      <w:spacing w:after="0" w:line="240" w:lineRule="auto"/>
      <w:ind w:left="323"/>
      <w:jc w:val="center"/>
      <w:rPr>
        <w:rFonts w:ascii="Garamond" w:hAnsi="Garamond" w:cs="Arial"/>
        <w:sz w:val="16"/>
        <w:szCs w:val="16"/>
        <w:lang w:val="es-MX"/>
      </w:rPr>
    </w:pPr>
    <w:r w:rsidRPr="00990908">
      <w:rPr>
        <w:rFonts w:ascii="Garamond" w:hAnsi="Garamond" w:cs="Arial"/>
        <w:sz w:val="16"/>
        <w:szCs w:val="16"/>
        <w:lang w:val="es-MX"/>
      </w:rPr>
      <w:t>Calle 11 No. 8 -17</w:t>
    </w:r>
  </w:p>
  <w:p w14:paraId="0E112942" w14:textId="77777777" w:rsidR="00C97446" w:rsidRPr="00990908" w:rsidRDefault="00C97446" w:rsidP="00A4554E">
    <w:pPr>
      <w:spacing w:after="0" w:line="240" w:lineRule="auto"/>
      <w:ind w:left="323"/>
      <w:jc w:val="center"/>
      <w:rPr>
        <w:rFonts w:ascii="Garamond" w:hAnsi="Garamond" w:cs="Arial"/>
        <w:sz w:val="16"/>
        <w:szCs w:val="16"/>
        <w:lang w:val="es-MX"/>
      </w:rPr>
    </w:pPr>
    <w:r w:rsidRPr="00990908">
      <w:rPr>
        <w:rFonts w:ascii="Garamond" w:hAnsi="Garamond" w:cs="Arial"/>
        <w:sz w:val="16"/>
        <w:szCs w:val="16"/>
        <w:lang w:val="es-MX"/>
      </w:rPr>
      <w:t>Código Postal: 111711</w:t>
    </w:r>
  </w:p>
  <w:p w14:paraId="436888D1" w14:textId="77777777" w:rsidR="00C97446" w:rsidRPr="00990908" w:rsidRDefault="00C97446" w:rsidP="00A4554E">
    <w:pPr>
      <w:spacing w:after="0" w:line="240" w:lineRule="auto"/>
      <w:ind w:left="323"/>
      <w:jc w:val="center"/>
      <w:rPr>
        <w:rFonts w:ascii="Garamond" w:hAnsi="Garamond" w:cs="Arial"/>
        <w:sz w:val="16"/>
        <w:szCs w:val="16"/>
        <w:lang w:val="es-MX"/>
      </w:rPr>
    </w:pPr>
    <w:r w:rsidRPr="00990908">
      <w:rPr>
        <w:rFonts w:ascii="Garamond" w:hAnsi="Garamond" w:cs="Arial"/>
        <w:sz w:val="16"/>
        <w:szCs w:val="16"/>
        <w:lang w:val="es-MX"/>
      </w:rPr>
      <w:t>Tel. 3387000 - 3820660</w:t>
    </w:r>
  </w:p>
  <w:p w14:paraId="1C558A7A" w14:textId="77777777" w:rsidR="00C97446" w:rsidRPr="00990908" w:rsidRDefault="00C97446" w:rsidP="00A4554E">
    <w:pPr>
      <w:spacing w:after="0" w:line="240" w:lineRule="auto"/>
      <w:ind w:left="323"/>
      <w:jc w:val="center"/>
      <w:rPr>
        <w:rFonts w:ascii="Garamond" w:hAnsi="Garamond" w:cs="Arial"/>
        <w:sz w:val="16"/>
        <w:szCs w:val="16"/>
        <w:lang w:val="es-MX"/>
      </w:rPr>
    </w:pPr>
    <w:r w:rsidRPr="00990908">
      <w:rPr>
        <w:rFonts w:ascii="Garamond" w:hAnsi="Garamond" w:cs="Arial"/>
        <w:sz w:val="16"/>
        <w:szCs w:val="16"/>
        <w:lang w:val="es-MX"/>
      </w:rPr>
      <w:t>Información Línea 195</w:t>
    </w:r>
  </w:p>
  <w:p w14:paraId="18AE27EA" w14:textId="77777777" w:rsidR="00C97446" w:rsidRDefault="00A4554E" w:rsidP="00A4554E">
    <w:pPr>
      <w:pStyle w:val="Piedepgina"/>
    </w:pPr>
    <w:r>
      <w:rPr>
        <w:rFonts w:ascii="Garamond" w:hAnsi="Garamond" w:cs="Arial"/>
        <w:sz w:val="16"/>
        <w:szCs w:val="16"/>
        <w:lang w:val="es-MX"/>
      </w:rPr>
      <w:tab/>
    </w:r>
    <w:r w:rsidR="00C97446" w:rsidRPr="00990908">
      <w:rPr>
        <w:rFonts w:ascii="Garamond" w:hAnsi="Garamond" w:cs="Arial"/>
        <w:sz w:val="16"/>
        <w:szCs w:val="16"/>
        <w:lang w:val="es-MX"/>
      </w:rPr>
      <w:t>www.gobiernobogota.gov.co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C921E" w14:textId="77777777" w:rsidR="006965D0" w:rsidRDefault="006965D0" w:rsidP="00C97446">
      <w:pPr>
        <w:spacing w:after="0" w:line="240" w:lineRule="auto"/>
      </w:pPr>
      <w:r>
        <w:separator/>
      </w:r>
    </w:p>
  </w:footnote>
  <w:footnote w:type="continuationSeparator" w:id="0">
    <w:p w14:paraId="3853DC56" w14:textId="77777777" w:rsidR="006965D0" w:rsidRDefault="006965D0" w:rsidP="00C97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425D0" w14:textId="77777777" w:rsidR="00C97446" w:rsidRDefault="00C97446" w:rsidP="00C97446">
    <w:pPr>
      <w:pStyle w:val="Encabezado"/>
      <w:jc w:val="center"/>
    </w:pPr>
    <w:r w:rsidRPr="00964DFF">
      <w:rPr>
        <w:noProof/>
      </w:rPr>
      <w:drawing>
        <wp:inline distT="0" distB="0" distL="0" distR="0" wp14:anchorId="353D7BF5" wp14:editId="12C94910">
          <wp:extent cx="2026920" cy="73152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26920" cy="73152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8A"/>
    <w:rsid w:val="000043D7"/>
    <w:rsid w:val="00017476"/>
    <w:rsid w:val="00087380"/>
    <w:rsid w:val="001041F3"/>
    <w:rsid w:val="001132D1"/>
    <w:rsid w:val="004C4A3E"/>
    <w:rsid w:val="004C66A9"/>
    <w:rsid w:val="00566FBA"/>
    <w:rsid w:val="00597158"/>
    <w:rsid w:val="005F6774"/>
    <w:rsid w:val="006965D0"/>
    <w:rsid w:val="006A1E59"/>
    <w:rsid w:val="00720C5E"/>
    <w:rsid w:val="00733473"/>
    <w:rsid w:val="00880CDA"/>
    <w:rsid w:val="008B46B7"/>
    <w:rsid w:val="008D2F0A"/>
    <w:rsid w:val="0091483B"/>
    <w:rsid w:val="0099498A"/>
    <w:rsid w:val="009A0742"/>
    <w:rsid w:val="00A4388C"/>
    <w:rsid w:val="00A4554E"/>
    <w:rsid w:val="00A83CA5"/>
    <w:rsid w:val="00B33991"/>
    <w:rsid w:val="00B37103"/>
    <w:rsid w:val="00B52896"/>
    <w:rsid w:val="00B820EB"/>
    <w:rsid w:val="00B932BF"/>
    <w:rsid w:val="00BA5BE9"/>
    <w:rsid w:val="00C2543D"/>
    <w:rsid w:val="00C97446"/>
    <w:rsid w:val="00CD5F2F"/>
    <w:rsid w:val="00DA2C8B"/>
    <w:rsid w:val="00E80565"/>
    <w:rsid w:val="00E91A8E"/>
    <w:rsid w:val="00EC21BE"/>
    <w:rsid w:val="00F455E8"/>
    <w:rsid w:val="00FB1B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70604"/>
  <w15:chartTrackingRefBased/>
  <w15:docId w15:val="{2591A71A-F1AE-4DBF-80AB-4B4CA9FD2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744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7446"/>
  </w:style>
  <w:style w:type="paragraph" w:styleId="Piedepgina">
    <w:name w:val="footer"/>
    <w:basedOn w:val="Normal"/>
    <w:link w:val="PiedepginaCar"/>
    <w:uiPriority w:val="99"/>
    <w:unhideWhenUsed/>
    <w:rsid w:val="00C9744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7446"/>
  </w:style>
  <w:style w:type="character" w:customStyle="1" w:styleId="WW8Num1z2">
    <w:name w:val="WW8Num1z2"/>
    <w:rsid w:val="00C97446"/>
  </w:style>
  <w:style w:type="paragraph" w:customStyle="1" w:styleId="Standard">
    <w:name w:val="Standard"/>
    <w:link w:val="StandardCar"/>
    <w:qFormat/>
    <w:rsid w:val="00F455E8"/>
    <w:pPr>
      <w:suppressAutoHyphens/>
      <w:autoSpaceDN w:val="0"/>
      <w:spacing w:after="0" w:line="240" w:lineRule="auto"/>
    </w:pPr>
    <w:rPr>
      <w:rFonts w:ascii="Times New Roman" w:eastAsia="Times New Roman" w:hAnsi="Times New Roman" w:cs="Times New Roman"/>
      <w:kern w:val="3"/>
      <w:sz w:val="20"/>
      <w:szCs w:val="20"/>
      <w:lang w:eastAsia="zh-CN"/>
    </w:rPr>
  </w:style>
  <w:style w:type="character" w:customStyle="1" w:styleId="StandardCar">
    <w:name w:val="Standard Car"/>
    <w:link w:val="Standard"/>
    <w:qFormat/>
    <w:locked/>
    <w:rsid w:val="00F455E8"/>
    <w:rPr>
      <w:rFonts w:ascii="Times New Roman" w:eastAsia="Times New Roman" w:hAnsi="Times New Roman" w:cs="Times New Roman"/>
      <w:kern w:val="3"/>
      <w:sz w:val="20"/>
      <w:szCs w:val="20"/>
      <w:lang w:eastAsia="zh-CN"/>
    </w:rPr>
  </w:style>
  <w:style w:type="character" w:styleId="Hipervnculo">
    <w:name w:val="Hyperlink"/>
    <w:uiPriority w:val="99"/>
    <w:rsid w:val="00A4388C"/>
    <w:rPr>
      <w:rFonts w:cs="Times New Roman"/>
      <w:color w:val="0000FF"/>
      <w:u w:val="single"/>
    </w:rPr>
  </w:style>
  <w:style w:type="paragraph" w:styleId="Textoindependiente">
    <w:name w:val="Body Text"/>
    <w:basedOn w:val="Normal"/>
    <w:link w:val="TextoindependienteCar"/>
    <w:rsid w:val="00A4388C"/>
    <w:pPr>
      <w:suppressAutoHyphens/>
      <w:spacing w:after="120" w:line="240" w:lineRule="auto"/>
    </w:pPr>
    <w:rPr>
      <w:rFonts w:ascii="Times New Roman" w:eastAsia="Times New Roman" w:hAnsi="Times New Roman" w:cs="Times New Roman"/>
      <w:sz w:val="20"/>
      <w:szCs w:val="20"/>
      <w:lang w:val="es-ES" w:eastAsia="zh-CN"/>
    </w:rPr>
  </w:style>
  <w:style w:type="character" w:customStyle="1" w:styleId="TextoindependienteCar">
    <w:name w:val="Texto independiente Car"/>
    <w:basedOn w:val="Fuentedeprrafopredeter"/>
    <w:link w:val="Textoindependiente"/>
    <w:rsid w:val="00A4388C"/>
    <w:rPr>
      <w:rFonts w:ascii="Times New Roman" w:eastAsia="Times New Roman" w:hAnsi="Times New Roman" w:cs="Times New Roman"/>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s://www.bancoldex.com/es/sobre-bancoldex/quienes-somos/clasificacion-de-empresas-en-colombia"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659</Words>
  <Characters>3626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Fondo de Desarrollo Local de Sumapaz</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Miryan Cristina Parra Duque</dc:creator>
  <cp:keywords/>
  <dc:description/>
  <cp:lastModifiedBy>Zayra Daniela Casas Lozano</cp:lastModifiedBy>
  <cp:revision>2</cp:revision>
  <dcterms:created xsi:type="dcterms:W3CDTF">2026-04-28T20:11:00Z</dcterms:created>
  <dcterms:modified xsi:type="dcterms:W3CDTF">2026-04-28T20:11:00Z</dcterms:modified>
</cp:coreProperties>
</file>